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0F" w:rsidRPr="0056380F" w:rsidRDefault="0056380F" w:rsidP="0056380F">
      <w:pPr>
        <w:spacing w:after="120"/>
        <w:jc w:val="center"/>
        <w:rPr>
          <w:rFonts w:asciiTheme="minorHAnsi" w:hAnsiTheme="minorHAnsi" w:cstheme="minorHAnsi"/>
          <w:sz w:val="48"/>
          <w:szCs w:val="48"/>
        </w:rPr>
      </w:pPr>
      <w:r w:rsidRPr="0056380F">
        <w:rPr>
          <w:rFonts w:asciiTheme="minorHAnsi" w:hAnsiTheme="minorHAnsi" w:cstheme="minorHAnsi"/>
          <w:sz w:val="48"/>
          <w:szCs w:val="48"/>
        </w:rPr>
        <w:t>25. Bankovní soustava</w:t>
      </w:r>
    </w:p>
    <w:p w:rsidR="0056380F" w:rsidRPr="0056380F" w:rsidRDefault="0056380F" w:rsidP="0056380F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56380F">
        <w:rPr>
          <w:rFonts w:asciiTheme="minorHAnsi" w:hAnsiTheme="minorHAnsi" w:cstheme="minorHAnsi"/>
        </w:rPr>
        <w:t>ČNB a její funkce</w:t>
      </w:r>
    </w:p>
    <w:p w:rsidR="0056380F" w:rsidRPr="0056380F" w:rsidRDefault="0056380F" w:rsidP="0056380F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56380F">
        <w:rPr>
          <w:rFonts w:asciiTheme="minorHAnsi" w:hAnsiTheme="minorHAnsi" w:cstheme="minorHAnsi"/>
        </w:rPr>
        <w:t>Obchodní banky</w:t>
      </w:r>
    </w:p>
    <w:p w:rsidR="0056380F" w:rsidRPr="0056380F" w:rsidRDefault="0056380F" w:rsidP="0056380F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56380F">
        <w:rPr>
          <w:rFonts w:asciiTheme="minorHAnsi" w:hAnsiTheme="minorHAnsi" w:cstheme="minorHAnsi"/>
        </w:rPr>
        <w:t>Pasivní a aktivní úvěrové operace</w:t>
      </w:r>
    </w:p>
    <w:p w:rsidR="0056380F" w:rsidRPr="0056380F" w:rsidRDefault="0056380F" w:rsidP="0056380F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56380F">
        <w:rPr>
          <w:rFonts w:asciiTheme="minorHAnsi" w:hAnsiTheme="minorHAnsi" w:cstheme="minorHAnsi"/>
        </w:rPr>
        <w:t>Základní účtování finančního majetku - úvěrů</w:t>
      </w: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9.75pt" o:bullet="t">
        <v:imagedata r:id="rId1" o:title="BD21300_"/>
      </v:shape>
    </w:pict>
  </w:numPicBullet>
  <w:abstractNum w:abstractNumId="0">
    <w:nsid w:val="2922394B"/>
    <w:multiLevelType w:val="hybridMultilevel"/>
    <w:tmpl w:val="8E5A929C"/>
    <w:lvl w:ilvl="0" w:tplc="AE14B5E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80F"/>
    <w:rsid w:val="004F1ECE"/>
    <w:rsid w:val="0056380F"/>
    <w:rsid w:val="008A1D16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56380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line="276" w:lineRule="auto"/>
      <w:outlineLvl w:val="0"/>
    </w:pPr>
    <w:rPr>
      <w:rFonts w:ascii="Calibri" w:hAnsi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line="276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spacing w:after="200" w:line="276" w:lineRule="auto"/>
      <w:ind w:left="720"/>
    </w:pPr>
    <w:rPr>
      <w:rFonts w:ascii="Calibri" w:hAnsi="Calibri" w:cs="Calibri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116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1</cp:revision>
  <dcterms:created xsi:type="dcterms:W3CDTF">2011-05-09T14:40:00Z</dcterms:created>
  <dcterms:modified xsi:type="dcterms:W3CDTF">2011-05-09T14:42:00Z</dcterms:modified>
</cp:coreProperties>
</file>